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49BCCD">
      <w:pPr>
        <w:jc w:val="center"/>
        <w:rPr>
          <w:rFonts w:ascii="方正小标宋简体" w:hAnsi="Times New Roman" w:eastAsia="方正小标宋简体" w:cs="Times New Roman"/>
          <w:bCs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bCs/>
          <w:sz w:val="44"/>
          <w:szCs w:val="44"/>
        </w:rPr>
        <w:t>交通与物流工程学院2025年“卓创杯”大学生课外学术科技作品竞赛组织实施细则</w:t>
      </w:r>
    </w:p>
    <w:p w14:paraId="13F153FC">
      <w:pPr>
        <w:spacing w:line="560" w:lineRule="exact"/>
        <w:ind w:firstLine="560"/>
        <w:rPr>
          <w:rFonts w:hAnsi="Times New Roman" w:eastAsia="仿宋_GB2312" w:cs="仿宋_GB2312"/>
          <w:sz w:val="32"/>
          <w:szCs w:val="32"/>
        </w:rPr>
      </w:pPr>
      <w:r>
        <w:rPr>
          <w:rFonts w:hint="eastAsia" w:hAnsi="Times New Roman" w:eastAsia="仿宋_GB2312" w:cs="仿宋_GB2312"/>
          <w:sz w:val="32"/>
          <w:szCs w:val="32"/>
        </w:rPr>
        <w:t>为进一步培养我院学生的科学精神和科学态度，增强大学生的动手实践能力和创新能力，营造良好的校园创新文化氛围，助力拔尖创新人才培养，院团委决定举办2025年“卓创杯”大学生课外学术科技作品竞赛，现将有关事宜通知如下：</w:t>
      </w:r>
    </w:p>
    <w:p w14:paraId="39EEA914">
      <w:pPr>
        <w:ind w:firstLine="550"/>
        <w:rPr>
          <w:rFonts w:hint="eastAsia"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一、参赛对象</w:t>
      </w:r>
    </w:p>
    <w:p w14:paraId="0D5E4223">
      <w:pPr>
        <w:spacing w:line="560" w:lineRule="exact"/>
        <w:ind w:firstLine="560"/>
        <w:rPr>
          <w:rFonts w:hAnsi="Times New Roman" w:eastAsia="仿宋_GB2312" w:cs="仿宋_GB2312"/>
          <w:sz w:val="32"/>
          <w:szCs w:val="32"/>
        </w:rPr>
      </w:pPr>
      <w:r>
        <w:rPr>
          <w:rFonts w:hint="eastAsia" w:hAnsi="Times New Roman" w:eastAsia="仿宋_GB2312" w:cs="仿宋_GB2312"/>
          <w:sz w:val="32"/>
          <w:szCs w:val="32"/>
        </w:rPr>
        <w:t>凡在2025年6月以前正式注册的学校全日制非成人教育本科生和硕士研究生（均不含在职研究生）均可申报，每人限报一件作品。</w:t>
      </w:r>
    </w:p>
    <w:p w14:paraId="20A5B948">
      <w:pPr>
        <w:ind w:firstLine="550"/>
        <w:rPr>
          <w:rFonts w:hint="eastAsia"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二、申报作品要求</w:t>
      </w:r>
    </w:p>
    <w:p w14:paraId="3C8314D0">
      <w:pPr>
        <w:spacing w:line="560" w:lineRule="exact"/>
        <w:ind w:firstLine="560"/>
        <w:rPr>
          <w:rFonts w:hAnsi="Times New Roman" w:eastAsia="仿宋_GB2312" w:cs="仿宋_GB2312"/>
          <w:sz w:val="32"/>
          <w:szCs w:val="32"/>
        </w:rPr>
      </w:pPr>
      <w:r>
        <w:rPr>
          <w:rFonts w:hint="eastAsia" w:hAnsi="Times New Roman" w:eastAsia="仿宋_GB2312" w:cs="仿宋_GB2312"/>
          <w:sz w:val="32"/>
          <w:szCs w:val="32"/>
        </w:rPr>
        <w:t>1、申报作品需为学生完成的课外学术科技作品或社会实践活动成果，作品均按学历最高的作者划分至本科生和硕士研究生作品进行评审，研究生的作品不得超过作品总数的1/2。</w:t>
      </w:r>
    </w:p>
    <w:p w14:paraId="0A08E086">
      <w:pPr>
        <w:spacing w:line="560" w:lineRule="exact"/>
        <w:ind w:firstLine="560"/>
        <w:rPr>
          <w:rFonts w:hAnsi="Times New Roman" w:eastAsia="仿宋_GB2312" w:cs="仿宋_GB2312"/>
          <w:sz w:val="32"/>
          <w:szCs w:val="32"/>
        </w:rPr>
      </w:pPr>
      <w:r>
        <w:rPr>
          <w:rFonts w:hint="eastAsia" w:hAnsi="Times New Roman" w:eastAsia="仿宋_GB2312" w:cs="仿宋_GB2312"/>
          <w:sz w:val="32"/>
          <w:szCs w:val="32"/>
        </w:rPr>
        <w:t>2、学院通过组织院级选拔赛，择优推荐不超过3件作品参加校级比赛，申报作品按照机械与控制、数理、信息技术、生命科学、能源化工、哲学与社会科学调查报告进行分组。</w:t>
      </w:r>
    </w:p>
    <w:p w14:paraId="23AC94EF">
      <w:pPr>
        <w:ind w:firstLine="550"/>
        <w:rPr>
          <w:rFonts w:hint="eastAsia"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三、参赛作品要求</w:t>
      </w:r>
    </w:p>
    <w:p w14:paraId="18C89E43">
      <w:pPr>
        <w:spacing w:line="560" w:lineRule="exact"/>
        <w:ind w:firstLine="54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参赛作品要求是学生利用课余时间、寒暑假制作完成的。毕业设计、课程设计（论文）、学位论文、团中央和教育部牵头举办的各类竞赛、国际竞赛上获奖的作品、获国家级奖励成果等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不在此列</w:t>
      </w:r>
      <w:r>
        <w:rPr>
          <w:rFonts w:hint="eastAsia" w:ascii="仿宋_GB2312" w:hAnsi="仿宋_GB2312" w:eastAsia="仿宋_GB2312" w:cs="仿宋_GB2312"/>
          <w:sz w:val="32"/>
          <w:szCs w:val="32"/>
        </w:rPr>
        <w:t>。参赛作品分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科技发明制作、学术论文类、社会调查报告类</w:t>
      </w:r>
      <w:r>
        <w:rPr>
          <w:rFonts w:hint="eastAsia" w:ascii="仿宋_GB2312" w:hAnsi="仿宋_GB2312" w:eastAsia="仿宋_GB2312" w:cs="仿宋_GB2312"/>
          <w:sz w:val="32"/>
          <w:szCs w:val="32"/>
        </w:rPr>
        <w:t>三类。</w:t>
      </w:r>
    </w:p>
    <w:p w14:paraId="60A33D30">
      <w:pPr>
        <w:ind w:firstLine="561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l.科技发明制作类</w:t>
      </w:r>
    </w:p>
    <w:p w14:paraId="7658C9E0">
      <w:pPr>
        <w:spacing w:line="560" w:lineRule="exact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参赛作品须从实际出发，侧重解决生产生活中的具体问题，注重其科学性、创新性以及实际效应，侧重考核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作品的应用价值和转化前景。</w:t>
      </w:r>
      <w:r>
        <w:rPr>
          <w:rFonts w:hint="eastAsia" w:ascii="仿宋_GB2312" w:hAnsi="仿宋_GB2312" w:eastAsia="仿宋_GB2312" w:cs="仿宋_GB2312"/>
          <w:sz w:val="32"/>
          <w:szCs w:val="32"/>
        </w:rPr>
        <w:t>共分</w:t>
      </w:r>
      <w:r>
        <w:rPr>
          <w:rFonts w:hAnsi="Times New Roman" w:eastAsia="仿宋_GB2312" w:cs="Times New Roman"/>
          <w:sz w:val="32"/>
          <w:szCs w:val="32"/>
        </w:rPr>
        <w:t>A、B</w:t>
      </w:r>
      <w:r>
        <w:rPr>
          <w:rFonts w:hint="eastAsia" w:ascii="仿宋_GB2312" w:hAnsi="仿宋_GB2312" w:eastAsia="仿宋_GB2312" w:cs="仿宋_GB2312"/>
          <w:sz w:val="32"/>
          <w:szCs w:val="32"/>
        </w:rPr>
        <w:t>两类：</w:t>
      </w:r>
      <w:r>
        <w:rPr>
          <w:rFonts w:hAnsi="Times New Roman" w:eastAsia="仿宋_GB2312" w:cs="Times New Roman"/>
          <w:sz w:val="32"/>
          <w:szCs w:val="32"/>
        </w:rPr>
        <w:t>A</w:t>
      </w:r>
      <w:r>
        <w:rPr>
          <w:rFonts w:hint="eastAsia" w:ascii="仿宋_GB2312" w:hAnsi="仿宋_GB2312" w:eastAsia="仿宋_GB2312" w:cs="仿宋_GB2312"/>
          <w:sz w:val="32"/>
          <w:szCs w:val="32"/>
        </w:rPr>
        <w:t>类是指科技含量较高、制作投入较大的作品；</w:t>
      </w:r>
      <w:r>
        <w:rPr>
          <w:rFonts w:hint="eastAsia" w:hAnsi="Times New Roman" w:eastAsia="仿宋_GB2312" w:cs="Times New Roman"/>
          <w:sz w:val="32"/>
          <w:szCs w:val="32"/>
        </w:rPr>
        <w:t>B</w:t>
      </w:r>
      <w:r>
        <w:rPr>
          <w:rFonts w:hint="eastAsia" w:ascii="仿宋_GB2312" w:hAnsi="仿宋_GB2312" w:eastAsia="仿宋_GB2312" w:cs="仿宋_GB2312"/>
          <w:sz w:val="32"/>
          <w:szCs w:val="32"/>
        </w:rPr>
        <w:t>类是指投入较少，且为生产实际或社会生活带来便利的小发明、小制作。</w:t>
      </w:r>
    </w:p>
    <w:p w14:paraId="10779EE3">
      <w:pPr>
        <w:ind w:firstLine="561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2、学术论文类</w:t>
      </w:r>
    </w:p>
    <w:p w14:paraId="72F0C3E4">
      <w:pPr>
        <w:spacing w:line="560" w:lineRule="exact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学术论文类作品限本科生，作品分为自然科学类学术论文（含机械与控制、信息技术、数理、生命科学、能源化工）和社会科学类学术论文（含经济管理、社会科学）。自然科学类学术论文侧重考核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基础学科学术探索的前沿性和学术性</w:t>
      </w:r>
      <w:r>
        <w:rPr>
          <w:rFonts w:hint="eastAsia" w:ascii="仿宋_GB2312" w:hAnsi="仿宋_GB2312" w:eastAsia="仿宋_GB2312" w:cs="仿宋_GB2312"/>
          <w:sz w:val="32"/>
          <w:szCs w:val="32"/>
        </w:rPr>
        <w:t>；社会科学类参赛作品应当围绕学生的学习生活实际及社会的热点、难点问题进行研究，侧重考核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与经济社会发展热点难点问题的结合程度和前瞻意义</w:t>
      </w:r>
      <w:r>
        <w:rPr>
          <w:rFonts w:hint="eastAsia" w:ascii="仿宋_GB2312" w:hAnsi="仿宋_GB2312" w:eastAsia="仿宋_GB2312" w:cs="仿宋_GB2312"/>
          <w:sz w:val="32"/>
          <w:szCs w:val="32"/>
        </w:rPr>
        <w:t>。每篇学术论文作品在</w:t>
      </w:r>
      <w:r>
        <w:rPr>
          <w:rFonts w:hint="eastAsia" w:hAnsi="Times New Roman" w:eastAsia="仿宋_GB2312" w:cs="Times New Roman"/>
          <w:sz w:val="32"/>
          <w:szCs w:val="32"/>
        </w:rPr>
        <w:t>8000</w:t>
      </w:r>
      <w:r>
        <w:rPr>
          <w:rFonts w:hint="eastAsia" w:ascii="仿宋_GB2312" w:hAnsi="仿宋_GB2312" w:eastAsia="仿宋_GB2312" w:cs="仿宋_GB2312"/>
          <w:sz w:val="32"/>
          <w:szCs w:val="32"/>
        </w:rPr>
        <w:t>字以内。</w:t>
      </w:r>
    </w:p>
    <w:p w14:paraId="60379E2E">
      <w:pPr>
        <w:ind w:firstLine="561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3、社会调查报告类</w:t>
      </w:r>
    </w:p>
    <w:p w14:paraId="348D2A1D">
      <w:pPr>
        <w:spacing w:line="560" w:lineRule="exact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社会调查报告作品学科限定在哲学、经济、社会、法律、教育、管理六类。作品以社会调查研究为主，包含被采用的为党政部门、企事业单位所做的各类发展规划、改革方案和咨询报告，并能提供采用单位使用证明和有关鉴定材料。每份调查报告在</w:t>
      </w:r>
      <w:r>
        <w:rPr>
          <w:rFonts w:hint="eastAsia" w:hAnsi="Times New Roman" w:eastAsia="仿宋_GB2312" w:cs="Times New Roman"/>
          <w:sz w:val="32"/>
          <w:szCs w:val="32"/>
        </w:rPr>
        <w:t>15000</w:t>
      </w:r>
      <w:r>
        <w:rPr>
          <w:rFonts w:hint="eastAsia" w:ascii="仿宋_GB2312" w:hAnsi="仿宋_GB2312" w:eastAsia="仿宋_GB2312" w:cs="仿宋_GB2312"/>
          <w:sz w:val="32"/>
          <w:szCs w:val="32"/>
        </w:rPr>
        <w:t>字以内。</w:t>
      </w:r>
    </w:p>
    <w:p w14:paraId="6FBBBB6A">
      <w:pPr>
        <w:ind w:firstLine="550"/>
        <w:rPr>
          <w:rFonts w:hint="eastAsia"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 xml:space="preserve">四、步骤与进程 </w:t>
      </w:r>
    </w:p>
    <w:p w14:paraId="2258AE4C">
      <w:pPr>
        <w:ind w:firstLine="561"/>
        <w:rPr>
          <w:rFonts w:hAnsi="Times New Roman" w:eastAsia="楷体_GB2312" w:cs="Times New Roman"/>
          <w:color w:val="333333"/>
          <w:sz w:val="32"/>
          <w:szCs w:val="32"/>
          <w:shd w:val="clear" w:color="auto" w:fill="FFFFFF"/>
          <w:lang w:bidi="ar"/>
        </w:rPr>
      </w:pPr>
      <w:r>
        <w:rPr>
          <w:rFonts w:hAnsi="Times New Roman" w:eastAsia="楷体_GB2312" w:cs="Times New Roman"/>
          <w:color w:val="333333"/>
          <w:sz w:val="32"/>
          <w:szCs w:val="32"/>
          <w:shd w:val="clear" w:color="auto" w:fill="FFFFFF"/>
          <w:lang w:bidi="ar"/>
        </w:rPr>
        <w:t>（一）组建培育、申报实施和学院初评阶段（</w:t>
      </w:r>
      <w:r>
        <w:rPr>
          <w:rFonts w:hint="eastAsia" w:hAnsi="Times New Roman" w:eastAsia="楷体_GB2312" w:cs="Times New Roman"/>
          <w:color w:val="333333"/>
          <w:sz w:val="32"/>
          <w:szCs w:val="32"/>
          <w:shd w:val="clear" w:color="auto" w:fill="FFFFFF"/>
          <w:lang w:bidi="ar"/>
        </w:rPr>
        <w:t>2025</w:t>
      </w:r>
      <w:r>
        <w:rPr>
          <w:rFonts w:hAnsi="Times New Roman" w:eastAsia="楷体_GB2312" w:cs="Times New Roman"/>
          <w:color w:val="333333"/>
          <w:sz w:val="32"/>
          <w:szCs w:val="32"/>
          <w:shd w:val="clear" w:color="auto" w:fill="FFFFFF"/>
          <w:lang w:bidi="ar"/>
        </w:rPr>
        <w:t>年</w:t>
      </w:r>
      <w:r>
        <w:rPr>
          <w:rFonts w:hint="eastAsia" w:hAnsi="Times New Roman" w:eastAsia="楷体_GB2312" w:cs="Times New Roman"/>
          <w:color w:val="333333"/>
          <w:sz w:val="32"/>
          <w:szCs w:val="32"/>
          <w:shd w:val="clear" w:color="auto" w:fill="FFFFFF"/>
          <w:lang w:bidi="ar"/>
        </w:rPr>
        <w:t>9</w:t>
      </w:r>
      <w:r>
        <w:rPr>
          <w:rFonts w:hAnsi="Times New Roman" w:eastAsia="楷体_GB2312" w:cs="Times New Roman"/>
          <w:color w:val="333333"/>
          <w:sz w:val="32"/>
          <w:szCs w:val="32"/>
          <w:shd w:val="clear" w:color="auto" w:fill="FFFFFF"/>
          <w:lang w:bidi="ar"/>
        </w:rPr>
        <w:t>月至</w:t>
      </w:r>
      <w:r>
        <w:rPr>
          <w:rFonts w:hint="eastAsia" w:hAnsi="Times New Roman" w:eastAsia="楷体_GB2312" w:cs="Times New Roman"/>
          <w:color w:val="333333"/>
          <w:sz w:val="32"/>
          <w:szCs w:val="32"/>
          <w:shd w:val="clear" w:color="auto" w:fill="FFFFFF"/>
          <w:lang w:bidi="ar"/>
        </w:rPr>
        <w:t>2025</w:t>
      </w:r>
      <w:r>
        <w:rPr>
          <w:rFonts w:hAnsi="Times New Roman" w:eastAsia="楷体_GB2312" w:cs="Times New Roman"/>
          <w:color w:val="333333"/>
          <w:sz w:val="32"/>
          <w:szCs w:val="32"/>
          <w:shd w:val="clear" w:color="auto" w:fill="FFFFFF"/>
          <w:lang w:bidi="ar"/>
        </w:rPr>
        <w:t>年10月）</w:t>
      </w:r>
    </w:p>
    <w:p w14:paraId="3F235DF2">
      <w:pPr>
        <w:spacing w:line="560" w:lineRule="exact"/>
        <w:ind w:firstLine="560"/>
        <w:rPr>
          <w:rFonts w:hAnsi="Times New Roman" w:eastAsia="仿宋_GB2312" w:cs="Times New Roman"/>
          <w:sz w:val="32"/>
          <w:szCs w:val="32"/>
        </w:rPr>
      </w:pPr>
      <w:r>
        <w:rPr>
          <w:rFonts w:hint="eastAsia" w:hAnsi="Times New Roman" w:eastAsia="仿宋_GB2312" w:cs="Times New Roman"/>
          <w:sz w:val="32"/>
          <w:szCs w:val="32"/>
          <w:lang w:bidi="ar"/>
        </w:rPr>
        <w:t>1、意向参赛人员需于</w:t>
      </w:r>
      <w:r>
        <w:rPr>
          <w:rFonts w:hAnsi="Times New Roman" w:eastAsia="仿宋_GB2312" w:cs="Times New Roman"/>
          <w:sz w:val="32"/>
          <w:szCs w:val="32"/>
          <w:lang w:bidi="ar"/>
        </w:rPr>
        <w:t>202</w:t>
      </w:r>
      <w:r>
        <w:rPr>
          <w:rFonts w:hint="eastAsia" w:hAnsi="Times New Roman" w:eastAsia="仿宋_GB2312" w:cs="Times New Roman"/>
          <w:sz w:val="32"/>
          <w:szCs w:val="32"/>
          <w:lang w:bidi="ar"/>
        </w:rPr>
        <w:t>5年</w:t>
      </w:r>
      <w:r>
        <w:rPr>
          <w:rFonts w:hAnsi="Times New Roman" w:eastAsia="仿宋_GB2312" w:cs="Times New Roman"/>
          <w:sz w:val="32"/>
          <w:szCs w:val="32"/>
          <w:lang w:bidi="ar"/>
        </w:rPr>
        <w:t>10</w:t>
      </w:r>
      <w:r>
        <w:rPr>
          <w:rFonts w:hint="eastAsia" w:hAnsi="Times New Roman" w:eastAsia="仿宋_GB2312" w:cs="Times New Roman"/>
          <w:sz w:val="32"/>
          <w:szCs w:val="32"/>
          <w:lang w:bidi="ar"/>
        </w:rPr>
        <w:t>月上旬前组建创业团队，并逐步完善参赛作品与申报材料，于10月12日前完成申报表（附件2-2）、汇总表（附件2-3）以及作品论文（撰写标准见附件2-4），并将上述材料打包成压缩包，以“2025年“卓创杯”大学生课外学术科技作品竞赛+项目名称+项目负责人”命名，并投递至邮箱</w:t>
      </w:r>
      <w:r>
        <w:fldChar w:fldCharType="begin"/>
      </w:r>
      <w:r>
        <w:instrText xml:space="preserve"> HYPERLINK "mailto:2433806008@qq.com" </w:instrText>
      </w:r>
      <w:r>
        <w:fldChar w:fldCharType="separate"/>
      </w:r>
      <w:r>
        <w:rPr>
          <w:rStyle w:val="12"/>
          <w:rFonts w:ascii="Times New Roman Regular" w:hAnsi="Times New Roman Regular" w:eastAsia="仿宋_GB2312" w:cs="Times New Roman Regular"/>
          <w:sz w:val="32"/>
        </w:rPr>
        <w:t>2433806008@qq.com</w:t>
      </w:r>
      <w:r>
        <w:rPr>
          <w:rStyle w:val="12"/>
          <w:rFonts w:ascii="Times New Roman Regular" w:hAnsi="Times New Roman Regular" w:eastAsia="仿宋_GB2312" w:cs="Times New Roman Regular"/>
          <w:sz w:val="32"/>
        </w:rPr>
        <w:fldChar w:fldCharType="end"/>
      </w:r>
      <w:r>
        <w:rPr>
          <w:rFonts w:hint="eastAsia" w:hAnsi="Times New Roman" w:eastAsia="仿宋_GB2312" w:cs="Times New Roman"/>
          <w:sz w:val="32"/>
          <w:szCs w:val="32"/>
          <w:lang w:bidi="ar"/>
        </w:rPr>
        <w:t>。</w:t>
      </w:r>
    </w:p>
    <w:p w14:paraId="4AD7D991">
      <w:pPr>
        <w:spacing w:line="560" w:lineRule="exact"/>
        <w:ind w:firstLine="560"/>
        <w:rPr>
          <w:rFonts w:hAnsi="Times New Roman" w:eastAsia="仿宋_GB2312" w:cs="Times New Roman"/>
          <w:color w:val="FF0000"/>
          <w:sz w:val="32"/>
          <w:szCs w:val="32"/>
        </w:rPr>
      </w:pPr>
      <w:r>
        <w:rPr>
          <w:rFonts w:hint="eastAsia" w:hAnsi="Times New Roman" w:eastAsia="仿宋_GB2312" w:cs="Times New Roman"/>
          <w:sz w:val="32"/>
          <w:szCs w:val="32"/>
          <w:lang w:bidi="ar"/>
        </w:rPr>
        <w:t>2、学院团委评审委员会将于</w:t>
      </w:r>
      <w:r>
        <w:rPr>
          <w:rFonts w:hAnsi="Times New Roman" w:eastAsia="仿宋_GB2312" w:cs="Times New Roman"/>
          <w:sz w:val="32"/>
          <w:szCs w:val="32"/>
          <w:lang w:bidi="ar"/>
        </w:rPr>
        <w:t>202</w:t>
      </w:r>
      <w:r>
        <w:rPr>
          <w:rFonts w:hint="eastAsia" w:hAnsi="Times New Roman" w:eastAsia="仿宋_GB2312" w:cs="Times New Roman"/>
          <w:sz w:val="32"/>
          <w:szCs w:val="32"/>
          <w:lang w:bidi="ar"/>
        </w:rPr>
        <w:t>5年</w:t>
      </w:r>
      <w:r>
        <w:rPr>
          <w:rFonts w:hAnsi="Times New Roman" w:eastAsia="仿宋_GB2312" w:cs="Times New Roman"/>
          <w:sz w:val="32"/>
          <w:szCs w:val="32"/>
          <w:lang w:bidi="ar"/>
        </w:rPr>
        <w:t>10</w:t>
      </w:r>
      <w:r>
        <w:rPr>
          <w:rFonts w:hint="eastAsia" w:hAnsi="Times New Roman" w:eastAsia="仿宋_GB2312" w:cs="Times New Roman"/>
          <w:sz w:val="32"/>
          <w:szCs w:val="32"/>
          <w:lang w:bidi="ar"/>
        </w:rPr>
        <w:t>月中旬前完成对学</w:t>
      </w:r>
      <w:r>
        <w:rPr>
          <w:rFonts w:hint="eastAsia" w:hAnsi="Times New Roman" w:eastAsia="仿宋_GB2312" w:cs="Times New Roman"/>
          <w:color w:val="000000"/>
          <w:sz w:val="32"/>
          <w:szCs w:val="32"/>
          <w:lang w:bidi="ar"/>
        </w:rPr>
        <w:t>院作品申报作品</w:t>
      </w:r>
      <w:r>
        <w:rPr>
          <w:rFonts w:hint="eastAsia" w:hAnsi="Times New Roman" w:eastAsia="仿宋_GB2312" w:cs="Times New Roman"/>
          <w:sz w:val="32"/>
          <w:szCs w:val="32"/>
          <w:lang w:bidi="ar"/>
        </w:rPr>
        <w:t>的资格及形式审查</w:t>
      </w:r>
      <w:bookmarkStart w:id="0" w:name="_Hlk148738328"/>
      <w:r>
        <w:rPr>
          <w:rFonts w:hint="eastAsia" w:hAnsi="Times New Roman" w:eastAsia="仿宋_GB2312" w:cs="Times New Roman"/>
          <w:color w:val="000000"/>
          <w:sz w:val="32"/>
          <w:szCs w:val="32"/>
          <w:lang w:bidi="ar"/>
        </w:rPr>
        <w:t>。</w:t>
      </w:r>
      <w:bookmarkEnd w:id="0"/>
    </w:p>
    <w:p w14:paraId="451162E6">
      <w:pPr>
        <w:ind w:firstLine="414"/>
        <w:rPr>
          <w:rFonts w:hint="eastAsia" w:ascii="楷体_GB2312" w:hAnsi="仿宋_GB2312" w:eastAsia="楷体_GB2312" w:cs="仿宋_GB2312"/>
          <w:bCs/>
          <w:sz w:val="32"/>
          <w:szCs w:val="32"/>
        </w:rPr>
      </w:pPr>
      <w:r>
        <w:rPr>
          <w:rFonts w:hint="eastAsia" w:ascii="楷体_GB2312" w:hAnsi="仿宋_GB2312" w:eastAsia="楷体_GB2312" w:cs="仿宋_GB2312"/>
          <w:bCs/>
          <w:sz w:val="32"/>
          <w:szCs w:val="32"/>
        </w:rPr>
        <w:t>（二）书面评审、终审答辩阶段（</w:t>
      </w:r>
      <w:r>
        <w:rPr>
          <w:rFonts w:hAnsi="Times New Roman" w:eastAsia="仿宋_GB2312" w:cs="Times New Roman"/>
          <w:sz w:val="32"/>
          <w:szCs w:val="32"/>
          <w:lang w:bidi="ar"/>
        </w:rPr>
        <w:t>202</w:t>
      </w:r>
      <w:r>
        <w:rPr>
          <w:rFonts w:hint="eastAsia" w:hAnsi="Times New Roman" w:eastAsia="仿宋_GB2312" w:cs="Times New Roman"/>
          <w:sz w:val="32"/>
          <w:szCs w:val="32"/>
          <w:lang w:bidi="ar"/>
        </w:rPr>
        <w:t>5</w:t>
      </w:r>
      <w:r>
        <w:rPr>
          <w:rFonts w:hint="eastAsia" w:ascii="楷体_GB2312" w:hAnsi="仿宋_GB2312" w:eastAsia="楷体_GB2312" w:cs="仿宋_GB2312"/>
          <w:bCs/>
          <w:sz w:val="32"/>
          <w:szCs w:val="32"/>
        </w:rPr>
        <w:t>年</w:t>
      </w:r>
      <w:r>
        <w:rPr>
          <w:rFonts w:hint="eastAsia" w:hAnsi="Times New Roman" w:eastAsia="仿宋_GB2312" w:cs="Times New Roman"/>
          <w:sz w:val="32"/>
          <w:szCs w:val="32"/>
          <w:lang w:bidi="ar"/>
        </w:rPr>
        <w:t>10</w:t>
      </w:r>
      <w:r>
        <w:rPr>
          <w:rFonts w:hint="eastAsia" w:ascii="楷体_GB2312" w:hAnsi="仿宋_GB2312" w:eastAsia="楷体_GB2312" w:cs="仿宋_GB2312"/>
          <w:bCs/>
          <w:sz w:val="32"/>
          <w:szCs w:val="32"/>
        </w:rPr>
        <w:t>月至</w:t>
      </w:r>
      <w:r>
        <w:rPr>
          <w:rFonts w:hint="eastAsia" w:hAnsi="Times New Roman" w:eastAsia="仿宋_GB2312" w:cs="Times New Roman"/>
          <w:sz w:val="32"/>
          <w:szCs w:val="32"/>
          <w:lang w:bidi="ar"/>
        </w:rPr>
        <w:t>2025</w:t>
      </w:r>
      <w:r>
        <w:rPr>
          <w:rFonts w:hint="eastAsia" w:ascii="楷体_GB2312" w:hAnsi="仿宋_GB2312" w:eastAsia="楷体_GB2312" w:cs="仿宋_GB2312"/>
          <w:bCs/>
          <w:sz w:val="32"/>
          <w:szCs w:val="32"/>
        </w:rPr>
        <w:t>年</w:t>
      </w:r>
      <w:r>
        <w:rPr>
          <w:rFonts w:hint="eastAsia" w:hAnsi="Times New Roman" w:eastAsia="仿宋_GB2312" w:cs="Times New Roman"/>
          <w:sz w:val="32"/>
          <w:szCs w:val="32"/>
          <w:lang w:bidi="ar"/>
        </w:rPr>
        <w:t>11</w:t>
      </w:r>
      <w:r>
        <w:rPr>
          <w:rFonts w:hint="eastAsia" w:ascii="楷体_GB2312" w:hAnsi="仿宋_GB2312" w:eastAsia="楷体_GB2312" w:cs="仿宋_GB2312"/>
          <w:bCs/>
          <w:sz w:val="32"/>
          <w:szCs w:val="32"/>
        </w:rPr>
        <w:t>月）</w:t>
      </w:r>
    </w:p>
    <w:p w14:paraId="3CC3561E">
      <w:pPr>
        <w:spacing w:line="560" w:lineRule="exact"/>
        <w:ind w:firstLine="640" w:firstLineChars="200"/>
        <w:jc w:val="both"/>
        <w:rPr>
          <w:rFonts w:hAnsi="Times New Roman" w:eastAsia="仿宋_GB2312" w:cs="Times New Roman"/>
          <w:sz w:val="32"/>
          <w:szCs w:val="32"/>
          <w:lang w:bidi="ar"/>
        </w:rPr>
      </w:pPr>
      <w:r>
        <w:rPr>
          <w:rFonts w:hint="eastAsia" w:hAnsi="Times New Roman" w:eastAsia="仿宋_GB2312" w:cs="Times New Roman"/>
          <w:sz w:val="32"/>
          <w:szCs w:val="32"/>
          <w:lang w:bidi="ar"/>
        </w:rPr>
        <w:t>1、2025年10月中下旬院评审委员会对作品进行书面评审，择优挑选参加院级</w:t>
      </w:r>
      <w:r>
        <w:rPr>
          <w:rFonts w:hAnsi="Times New Roman" w:eastAsia="仿宋_GB2312" w:cs="Times New Roman"/>
          <w:sz w:val="32"/>
          <w:szCs w:val="32"/>
          <w:lang w:bidi="ar"/>
        </w:rPr>
        <w:t>“</w:t>
      </w:r>
      <w:r>
        <w:rPr>
          <w:rFonts w:hint="eastAsia" w:hAnsi="Times New Roman" w:eastAsia="仿宋_GB2312" w:cs="Times New Roman"/>
          <w:sz w:val="32"/>
          <w:szCs w:val="32"/>
          <w:lang w:bidi="ar"/>
        </w:rPr>
        <w:t>卓创杯</w:t>
      </w:r>
      <w:r>
        <w:rPr>
          <w:rFonts w:hAnsi="Times New Roman" w:eastAsia="仿宋_GB2312" w:cs="Times New Roman"/>
          <w:sz w:val="32"/>
          <w:szCs w:val="32"/>
          <w:lang w:bidi="ar"/>
        </w:rPr>
        <w:t>”</w:t>
      </w:r>
      <w:r>
        <w:rPr>
          <w:rFonts w:hint="eastAsia" w:hAnsi="Times New Roman" w:eastAsia="仿宋_GB2312" w:cs="Times New Roman"/>
          <w:sz w:val="32"/>
          <w:szCs w:val="32"/>
          <w:lang w:bidi="ar"/>
        </w:rPr>
        <w:t xml:space="preserve">大学生课外学术科技作品竞赛； </w:t>
      </w:r>
    </w:p>
    <w:p w14:paraId="2CCB9324">
      <w:pPr>
        <w:overflowPunct w:val="0"/>
        <w:spacing w:line="560" w:lineRule="exact"/>
        <w:ind w:firstLine="640" w:firstLineChars="200"/>
        <w:jc w:val="both"/>
        <w:rPr>
          <w:rFonts w:hAnsi="Times New Roman" w:eastAsia="仿宋_GB2312" w:cs="Times New Roman"/>
          <w:sz w:val="32"/>
          <w:szCs w:val="32"/>
          <w:lang w:bidi="ar"/>
        </w:rPr>
      </w:pPr>
      <w:r>
        <w:rPr>
          <w:rFonts w:hint="eastAsia" w:hAnsi="Times New Roman" w:eastAsia="仿宋_GB2312" w:cs="Times New Roman"/>
          <w:sz w:val="32"/>
          <w:szCs w:val="32"/>
          <w:lang w:bidi="ar"/>
        </w:rPr>
        <w:t>2、2025年10月底对入围终审决赛项目进行公开答辩，11月上旬公布获奖情况及团体成绩，择优挑选不超过6件作品上报参加校级第二十五届</w:t>
      </w:r>
      <w:r>
        <w:rPr>
          <w:rFonts w:hAnsi="Times New Roman" w:eastAsia="仿宋_GB2312" w:cs="Times New Roman"/>
          <w:sz w:val="32"/>
          <w:szCs w:val="32"/>
          <w:lang w:bidi="ar"/>
        </w:rPr>
        <w:t>“</w:t>
      </w:r>
      <w:r>
        <w:rPr>
          <w:rFonts w:hint="eastAsia" w:hAnsi="Times New Roman" w:eastAsia="仿宋_GB2312" w:cs="Times New Roman"/>
          <w:sz w:val="32"/>
          <w:szCs w:val="32"/>
          <w:lang w:bidi="ar"/>
        </w:rPr>
        <w:t>创新杯</w:t>
      </w:r>
      <w:r>
        <w:rPr>
          <w:rFonts w:hAnsi="Times New Roman" w:eastAsia="仿宋_GB2312" w:cs="Times New Roman"/>
          <w:sz w:val="32"/>
          <w:szCs w:val="32"/>
          <w:lang w:bidi="ar"/>
        </w:rPr>
        <w:t>”</w:t>
      </w:r>
      <w:r>
        <w:rPr>
          <w:rFonts w:hint="eastAsia" w:hAnsi="Times New Roman" w:eastAsia="仿宋_GB2312" w:cs="Times New Roman"/>
          <w:sz w:val="32"/>
          <w:szCs w:val="32"/>
          <w:lang w:bidi="ar"/>
        </w:rPr>
        <w:t>大学生课外学术科技作品竞赛。</w:t>
      </w:r>
    </w:p>
    <w:p w14:paraId="22F184EB">
      <w:pPr>
        <w:ind w:firstLine="550"/>
        <w:rPr>
          <w:rFonts w:hint="eastAsia"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五、奖励办法</w:t>
      </w:r>
    </w:p>
    <w:p w14:paraId="6F23A1C9">
      <w:pPr>
        <w:spacing w:line="560" w:lineRule="exact"/>
        <w:ind w:firstLine="560"/>
        <w:rPr>
          <w:rFonts w:hAnsi="Times New Roman" w:eastAsia="仿宋_GB2312" w:cs="仿宋_GB2312"/>
          <w:sz w:val="32"/>
          <w:szCs w:val="32"/>
        </w:rPr>
      </w:pPr>
      <w:r>
        <w:rPr>
          <w:rFonts w:hint="eastAsia" w:hAnsi="Times New Roman" w:eastAsia="仿宋_GB2312" w:cs="仿宋_GB2312"/>
          <w:sz w:val="32"/>
          <w:szCs w:val="32"/>
        </w:rPr>
        <w:t>学院评审委员会对参赛作品进行书面评审，评出80%左右的参赛作品入围获奖作品，评出入围作品中的50%获得三等奖，其余50%进入终审决赛。在院级选拔赛中评出特等奖、一等奖、二等奖，其余部分获得三等奖，各等次奖分别约占各类入围作品总数的3%、8%、24%和65%。</w:t>
      </w:r>
    </w:p>
    <w:p w14:paraId="78712179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3C00507">
      <w:pPr>
        <w:spacing w:line="560" w:lineRule="exact"/>
        <w:ind w:right="560"/>
        <w:jc w:val="right"/>
        <w:rPr>
          <w:rFonts w:hAnsi="Times New Roman" w:eastAsia="仿宋_GB2312" w:cs="Times New Roman"/>
          <w:sz w:val="32"/>
          <w:szCs w:val="32"/>
        </w:rPr>
      </w:pPr>
      <w:r>
        <w:rPr>
          <w:rFonts w:hAnsi="Times New Roman" w:eastAsia="仿宋_GB2312" w:cs="Times New Roman"/>
          <w:sz w:val="32"/>
          <w:szCs w:val="32"/>
        </w:rPr>
        <w:t>共青团武汉理工大学</w:t>
      </w:r>
      <w:r>
        <w:rPr>
          <w:rFonts w:hint="eastAsia" w:hAnsi="Times New Roman" w:eastAsia="仿宋_GB2312" w:cs="Times New Roman"/>
          <w:sz w:val="32"/>
          <w:szCs w:val="32"/>
        </w:rPr>
        <w:t>交通与物流工程学院</w:t>
      </w:r>
      <w:r>
        <w:rPr>
          <w:rFonts w:hAnsi="Times New Roman" w:eastAsia="仿宋_GB2312" w:cs="Times New Roman"/>
          <w:sz w:val="32"/>
          <w:szCs w:val="32"/>
        </w:rPr>
        <w:t>委员会</w:t>
      </w:r>
    </w:p>
    <w:p w14:paraId="188DB057">
      <w:pPr>
        <w:spacing w:line="560" w:lineRule="exact"/>
        <w:ind w:right="560"/>
        <w:jc w:val="right"/>
        <w:rPr>
          <w:rFonts w:hAnsi="Times New Roman" w:eastAsia="仿宋_GB2312" w:cs="Times New Roman"/>
          <w:sz w:val="32"/>
          <w:szCs w:val="32"/>
        </w:rPr>
      </w:pPr>
      <w:r>
        <w:rPr>
          <w:rFonts w:hAnsi="Times New Roman" w:eastAsia="仿宋_GB2312" w:cs="Times New Roman"/>
          <w:sz w:val="32"/>
          <w:szCs w:val="32"/>
        </w:rPr>
        <w:t>二</w:t>
      </w:r>
      <w:r>
        <w:rPr>
          <w:rFonts w:hAnsi="Times New Roman" w:eastAsia="微软雅黑" w:cs="Times New Roman"/>
          <w:sz w:val="32"/>
          <w:szCs w:val="32"/>
        </w:rPr>
        <w:t>〇</w:t>
      </w:r>
      <w:r>
        <w:rPr>
          <w:rFonts w:hAnsi="Times New Roman" w:eastAsia="仿宋_GB2312" w:cs="Times New Roman"/>
          <w:sz w:val="32"/>
          <w:szCs w:val="32"/>
        </w:rPr>
        <w:t>二</w:t>
      </w:r>
      <w:r>
        <w:rPr>
          <w:rFonts w:hint="eastAsia" w:hAnsi="Times New Roman" w:eastAsia="仿宋_GB2312" w:cs="Times New Roman"/>
          <w:sz w:val="32"/>
          <w:szCs w:val="32"/>
        </w:rPr>
        <w:t>五</w:t>
      </w:r>
      <w:r>
        <w:rPr>
          <w:rFonts w:hAnsi="Times New Roman" w:eastAsia="仿宋_GB2312" w:cs="Times New Roman"/>
          <w:sz w:val="32"/>
          <w:szCs w:val="32"/>
        </w:rPr>
        <w:t>年九月</w:t>
      </w:r>
      <w:r>
        <w:rPr>
          <w:rFonts w:hint="eastAsia" w:hAnsi="Times New Roman" w:eastAsia="仿宋_GB2312" w:cs="Times New Roman"/>
          <w:sz w:val="32"/>
          <w:szCs w:val="32"/>
        </w:rPr>
        <w:t>二十</w:t>
      </w:r>
      <w:r>
        <w:rPr>
          <w:rFonts w:hint="eastAsia" w:hAnsi="Times New Roman" w:eastAsia="仿宋_GB2312" w:cs="Times New Roman"/>
          <w:sz w:val="32"/>
          <w:szCs w:val="32"/>
          <w:lang w:val="en-US" w:eastAsia="zh-CN"/>
        </w:rPr>
        <w:t>八</w:t>
      </w:r>
      <w:bookmarkStart w:id="1" w:name="_GoBack"/>
      <w:bookmarkEnd w:id="1"/>
      <w:r>
        <w:rPr>
          <w:rFonts w:hAnsi="Times New Roman" w:eastAsia="仿宋_GB2312" w:cs="Times New Roman"/>
          <w:sz w:val="32"/>
          <w:szCs w:val="32"/>
        </w:rPr>
        <w:t>日</w:t>
      </w:r>
    </w:p>
    <w:p w14:paraId="2C16E734">
      <w:pPr>
        <w:spacing w:line="560" w:lineRule="exact"/>
        <w:ind w:right="56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F4AF335">
      <w:pPr>
        <w:spacing w:line="560" w:lineRule="exact"/>
        <w:ind w:right="56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588" w:right="1701" w:bottom="1361" w:left="1701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777C37E-E189-4695-A41A-0DBD083775F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159A1E32-4038-49B7-8EAF-49CD8C6C9C5F}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  <w:embedRegular r:id="rId3" w:fontKey="{50F75C30-9AD6-47C3-B8A7-C56B21F22455}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166DD844-E6AC-4189-8D84-3E97591C543E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194B3B89-5DDF-4624-8C0F-008D83AFDD4F}"/>
  </w:font>
  <w:font w:name="Times New Roman Regular">
    <w:altName w:val="Times New Roman"/>
    <w:panose1 w:val="00000000000000000000"/>
    <w:charset w:val="00"/>
    <w:family w:val="auto"/>
    <w:pitch w:val="default"/>
    <w:sig w:usb0="00000000" w:usb1="00000000" w:usb2="00000001" w:usb3="00000000" w:csb0="400001BF" w:csb1="DFF70000"/>
    <w:embedRegular r:id="rId6" w:fontKey="{D3BCEEA6-BBF3-4CCE-8DB0-6016D6DF6C79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7" w:fontKey="{9DEB0248-A365-4888-805A-C6FCEF03624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Y2OGM1NTVhMWZkYzAxODEwYjA0ZDliMzMwYzM3NTAifQ=="/>
  </w:docVars>
  <w:rsids>
    <w:rsidRoot w:val="00F758BE"/>
    <w:rsid w:val="002C0883"/>
    <w:rsid w:val="003D2E48"/>
    <w:rsid w:val="005A24BF"/>
    <w:rsid w:val="005E1DB8"/>
    <w:rsid w:val="00682B1F"/>
    <w:rsid w:val="006A76FD"/>
    <w:rsid w:val="0077331C"/>
    <w:rsid w:val="0078351B"/>
    <w:rsid w:val="0084498A"/>
    <w:rsid w:val="00936FE8"/>
    <w:rsid w:val="00A448AA"/>
    <w:rsid w:val="00AE3EBB"/>
    <w:rsid w:val="00B15102"/>
    <w:rsid w:val="00ED7E58"/>
    <w:rsid w:val="00EE1B22"/>
    <w:rsid w:val="00F336A4"/>
    <w:rsid w:val="00F758BE"/>
    <w:rsid w:val="00FA166F"/>
    <w:rsid w:val="02780240"/>
    <w:rsid w:val="05AF0756"/>
    <w:rsid w:val="060317A8"/>
    <w:rsid w:val="0813353C"/>
    <w:rsid w:val="0D2C5149"/>
    <w:rsid w:val="0E3F0EFF"/>
    <w:rsid w:val="13605820"/>
    <w:rsid w:val="15817947"/>
    <w:rsid w:val="166A5654"/>
    <w:rsid w:val="1BE41491"/>
    <w:rsid w:val="1C586E96"/>
    <w:rsid w:val="1F1A5638"/>
    <w:rsid w:val="1F4D415C"/>
    <w:rsid w:val="1FF4799A"/>
    <w:rsid w:val="28FB6C1B"/>
    <w:rsid w:val="338A05D9"/>
    <w:rsid w:val="3E682515"/>
    <w:rsid w:val="3F015348"/>
    <w:rsid w:val="3F172933"/>
    <w:rsid w:val="4EB50B6B"/>
    <w:rsid w:val="56BA5480"/>
    <w:rsid w:val="588673C8"/>
    <w:rsid w:val="58F7345B"/>
    <w:rsid w:val="593A25BC"/>
    <w:rsid w:val="5982053D"/>
    <w:rsid w:val="5EA2747A"/>
    <w:rsid w:val="6C636DA3"/>
    <w:rsid w:val="75D2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Theme="minorHAnsi" w:eastAsiaTheme="minorEastAsia" w:cstheme="minorBidi"/>
      <w:lang w:val="en-US" w:eastAsia="zh-CN" w:bidi="ar-SA"/>
    </w:rPr>
  </w:style>
  <w:style w:type="paragraph" w:styleId="2">
    <w:name w:val="heading 1"/>
    <w:basedOn w:val="1"/>
    <w:qFormat/>
    <w:uiPriority w:val="0"/>
    <w:pPr>
      <w:spacing w:before="480"/>
      <w:outlineLvl w:val="0"/>
    </w:pPr>
    <w:rPr>
      <w:b/>
      <w:color w:val="345A8A"/>
      <w:sz w:val="32"/>
    </w:rPr>
  </w:style>
  <w:style w:type="paragraph" w:styleId="3">
    <w:name w:val="heading 2"/>
    <w:basedOn w:val="1"/>
    <w:qFormat/>
    <w:uiPriority w:val="0"/>
    <w:pPr>
      <w:spacing w:before="200"/>
      <w:outlineLvl w:val="1"/>
    </w:pPr>
    <w:rPr>
      <w:b/>
      <w:color w:val="4F81BD"/>
      <w:sz w:val="26"/>
    </w:rPr>
  </w:style>
  <w:style w:type="paragraph" w:styleId="4">
    <w:name w:val="heading 3"/>
    <w:basedOn w:val="1"/>
    <w:qFormat/>
    <w:uiPriority w:val="0"/>
    <w:pPr>
      <w:spacing w:before="200"/>
      <w:outlineLvl w:val="2"/>
    </w:pPr>
    <w:rPr>
      <w:b/>
      <w:color w:val="4F81BD"/>
      <w:sz w:val="24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ate"/>
    <w:basedOn w:val="1"/>
    <w:next w:val="1"/>
    <w:link w:val="25"/>
    <w:semiHidden/>
    <w:unhideWhenUsed/>
    <w:qFormat/>
    <w:uiPriority w:val="99"/>
    <w:pPr>
      <w:ind w:left="100" w:leftChars="2500"/>
    </w:pPr>
  </w:style>
  <w:style w:type="paragraph" w:styleId="6">
    <w:name w:val="footer"/>
    <w:basedOn w:val="1"/>
    <w:link w:val="23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Subtitle"/>
    <w:basedOn w:val="1"/>
    <w:qFormat/>
    <w:uiPriority w:val="0"/>
    <w:rPr>
      <w:i/>
      <w:color w:val="4F81BD"/>
      <w:sz w:val="24"/>
    </w:rPr>
  </w:style>
  <w:style w:type="paragraph" w:styleId="9">
    <w:name w:val="Title"/>
    <w:basedOn w:val="1"/>
    <w:qFormat/>
    <w:uiPriority w:val="0"/>
    <w:pPr>
      <w:spacing w:after="300"/>
    </w:pPr>
    <w:rPr>
      <w:color w:val="17365D"/>
      <w:sz w:val="52"/>
    </w:rPr>
  </w:style>
  <w:style w:type="character" w:styleId="12">
    <w:name w:val="Hyperlink"/>
    <w:basedOn w:val="11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customStyle="1" w:styleId="13">
    <w:name w:val="正文1"/>
    <w:qFormat/>
    <w:uiPriority w:val="0"/>
    <w:pPr>
      <w:jc w:val="both"/>
    </w:pPr>
    <w:rPr>
      <w:rFonts w:ascii="Times New Roman" w:hAnsiTheme="minorHAnsi" w:eastAsiaTheme="minorEastAsia" w:cstheme="minorBidi"/>
      <w:sz w:val="21"/>
      <w:szCs w:val="24"/>
      <w:lang w:val="en-US" w:eastAsia="zh-CN" w:bidi="ar-SA"/>
    </w:rPr>
  </w:style>
  <w:style w:type="character" w:customStyle="1" w:styleId="14">
    <w:name w:val="默认段落字体1"/>
    <w:qFormat/>
    <w:uiPriority w:val="0"/>
  </w:style>
  <w:style w:type="table" w:customStyle="1" w:styleId="15">
    <w:name w:val="普通表格1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批注框文本1"/>
    <w:basedOn w:val="13"/>
    <w:qFormat/>
    <w:uiPriority w:val="0"/>
    <w:rPr>
      <w:sz w:val="18"/>
      <w:szCs w:val="18"/>
    </w:rPr>
  </w:style>
  <w:style w:type="paragraph" w:customStyle="1" w:styleId="17">
    <w:name w:val="页脚1"/>
    <w:basedOn w:val="13"/>
    <w:qFormat/>
    <w:uiPriority w:val="0"/>
    <w:pPr>
      <w:jc w:val="left"/>
    </w:pPr>
    <w:rPr>
      <w:sz w:val="18"/>
      <w:szCs w:val="18"/>
    </w:rPr>
  </w:style>
  <w:style w:type="paragraph" w:customStyle="1" w:styleId="18">
    <w:name w:val="页眉1"/>
    <w:basedOn w:val="13"/>
    <w:qFormat/>
    <w:uiPriority w:val="0"/>
    <w:pPr>
      <w:pBdr>
        <w:bottom w:val="single" w:color="000000" w:sz="6" w:space="1"/>
      </w:pBdr>
      <w:jc w:val="center"/>
    </w:pPr>
    <w:rPr>
      <w:sz w:val="18"/>
      <w:szCs w:val="18"/>
    </w:rPr>
  </w:style>
  <w:style w:type="character" w:customStyle="1" w:styleId="19">
    <w:name w:val="页码1"/>
    <w:qFormat/>
    <w:uiPriority w:val="0"/>
  </w:style>
  <w:style w:type="paragraph" w:customStyle="1" w:styleId="20">
    <w:name w:val="Char Char Char3"/>
    <w:basedOn w:val="13"/>
    <w:qFormat/>
    <w:uiPriority w:val="0"/>
    <w:rPr>
      <w:rFonts w:ascii="宋体" w:hAnsi="宋体"/>
      <w:sz w:val="32"/>
      <w:szCs w:val="32"/>
    </w:rPr>
  </w:style>
  <w:style w:type="paragraph" w:customStyle="1" w:styleId="21">
    <w:name w:val="修订1"/>
    <w:qFormat/>
    <w:uiPriority w:val="0"/>
    <w:rPr>
      <w:rFonts w:ascii="Times New Roman" w:hAnsiTheme="minorHAnsi" w:eastAsiaTheme="minorEastAsia" w:cstheme="minorBidi"/>
      <w:sz w:val="21"/>
      <w:szCs w:val="24"/>
      <w:lang w:val="en-US" w:eastAsia="zh-CN" w:bidi="ar-SA"/>
    </w:rPr>
  </w:style>
  <w:style w:type="character" w:customStyle="1" w:styleId="22">
    <w:name w:val="页眉 字符"/>
    <w:basedOn w:val="11"/>
    <w:link w:val="7"/>
    <w:qFormat/>
    <w:uiPriority w:val="99"/>
    <w:rPr>
      <w:sz w:val="18"/>
      <w:szCs w:val="18"/>
    </w:rPr>
  </w:style>
  <w:style w:type="character" w:customStyle="1" w:styleId="23">
    <w:name w:val="页脚 字符"/>
    <w:basedOn w:val="11"/>
    <w:link w:val="6"/>
    <w:qFormat/>
    <w:uiPriority w:val="99"/>
    <w:rPr>
      <w:sz w:val="18"/>
      <w:szCs w:val="18"/>
    </w:rPr>
  </w:style>
  <w:style w:type="paragraph" w:customStyle="1" w:styleId="24">
    <w:name w:val="修订2"/>
    <w:hidden/>
    <w:unhideWhenUsed/>
    <w:qFormat/>
    <w:uiPriority w:val="99"/>
    <w:rPr>
      <w:rFonts w:ascii="Times New Roman" w:hAnsiTheme="minorHAnsi" w:eastAsiaTheme="minorEastAsia" w:cstheme="minorBidi"/>
      <w:lang w:val="en-US" w:eastAsia="zh-CN" w:bidi="ar-SA"/>
    </w:rPr>
  </w:style>
  <w:style w:type="character" w:customStyle="1" w:styleId="25">
    <w:name w:val="日期 字符"/>
    <w:basedOn w:val="11"/>
    <w:link w:val="5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1458</Words>
  <Characters>1548</Characters>
  <Lines>41</Lines>
  <Paragraphs>23</Paragraphs>
  <TotalTime>11</TotalTime>
  <ScaleCrop>false</ScaleCrop>
  <LinksUpToDate>false</LinksUpToDate>
  <CharactersWithSpaces>1550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2024-09-11T09:42:00Z</dcterms:created>
  <dc:creator>Little  Monkey</dc:creator>
  <cp:lastModifiedBy>是栗子不是</cp:lastModifiedBy>
  <dcterms:modified xsi:type="dcterms:W3CDTF">2025-09-28T06:49:31Z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F9C6BEDE480949C1911B8C112ED4ABDE_13</vt:lpwstr>
  </property>
  <property fmtid="{D5CDD505-2E9C-101B-9397-08002B2CF9AE}" pid="4" name="KSOTemplateDocerSaveRecord">
    <vt:lpwstr>eyJoZGlkIjoiM2MwMzZlOGEzZTMxYmY5ZGRjMWUxODQ1ZTk5MWUwNTciLCJ1c2VySWQiOiIxNTg3MjgwMDI3In0=</vt:lpwstr>
  </property>
</Properties>
</file>